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docProps/app.xml" ContentType="application/vnd.openxmlformats-officedocument.extended-properties+xml"/>
  <Override PartName="/word/settings.xml" ContentType="application/vnd.openxmlformats-officedocument.wordprocessingml.settings+xml"/>
  <Override PartName="/docProps/core.xml" ContentType="application/vnd.openxmlformats-package.core-properties+xml"/>
  <Override PartName="/word/fontTable.xml" ContentType="application/vnd.openxmlformats-officedocument.wordprocessingml.fontTable+xml"/>
  <Override PartName="/word/styles.xml" ContentType="application/vnd.openxmlformats-officedocument.wordprocessingml.styles+xml"/>
  <Override PartName="/word/numbering.xml" ContentType="application/vnd.openxmlformats-officedocument.wordprocessingml.numbering+xml"/>
  <Override PartName="/word/theme/theme1.xml" ContentType="application/vnd.openxmlformats-officedocument.theme+xml"/>
  <Override PartName="/word/document.xml" ContentType="application/vnd.openxmlformats-officedocument.wordprocessingml.document.main+xml"/>
</Types>
</file>

<file path=_rels/.rels><?xml version="1.0" encoding="UTF-8"?>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mc:Ignorable="w14 wp14">
  <w:body>
    <w:p>
      <w:pPr>
        <w:pStyle w:val="style0"/>
        <w:rPr/>
      </w:pPr>
      <w:r>
        <w:rPr>
          <w:noProof/>
        </w:rPr>
        <w:drawing>
          <wp:inline distT="0" distB="0" distL="0" distR="0">
            <wp:extent cx="5731510" cy="3223895"/>
            <wp:effectExtent l="0" t="0" r="2540" b="0"/>
            <wp:docPr id="102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true">
                    <a:blip r:embed="rId2"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p>
    <w:p>
      <w:pPr>
        <w:pStyle w:val="style0"/>
        <w:rPr/>
      </w:pPr>
      <w:r>
        <w:t xml:space="preserve">ROLAP </w:t>
      </w:r>
      <w:r>
        <w:t xml:space="preserve">is </w:t>
      </w:r>
      <w:r>
        <w:rPr>
          <w:rFonts w:ascii="Arial" w:cs="Arial" w:hAnsi="Arial"/>
          <w:color w:val="222222"/>
          <w:shd w:val="clear" w:color="auto" w:fill="ffffff"/>
        </w:rPr>
        <w:t>Relational online analytical processing (</w:t>
      </w:r>
      <w:r>
        <w:rPr>
          <w:rFonts w:ascii="Arial" w:cs="Arial" w:hAnsi="Arial"/>
          <w:b/>
          <w:bCs/>
          <w:color w:val="222222"/>
          <w:shd w:val="clear" w:color="auto" w:fill="ffffff"/>
        </w:rPr>
        <w:t>ROLAP</w:t>
      </w:r>
      <w:r>
        <w:rPr>
          <w:rFonts w:ascii="Arial" w:cs="Arial" w:hAnsi="Arial"/>
          <w:color w:val="222222"/>
          <w:shd w:val="clear" w:color="auto" w:fill="ffffff"/>
        </w:rPr>
        <w:t>) is a form of online analytical processing (OLAP) that performs dynamic multidimensional analysis of data stored in a relational database rather than in a multidimensional database (which is usually considered the OLAP standard).</w:t>
      </w:r>
    </w:p>
    <w:p>
      <w:pPr>
        <w:pStyle w:val="style0"/>
        <w:rPr/>
      </w:pPr>
      <w:r>
        <w:rPr>
          <w:noProof/>
        </w:rPr>
        <w:drawing>
          <wp:inline distT="0" distB="0" distL="0" distR="0">
            <wp:extent cx="5731510" cy="3223895"/>
            <wp:effectExtent l="0" t="0" r="2540" b="0"/>
            <wp:docPr id="102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true">
                    <a:blip r:embed="rId3"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p>
    <w:p>
      <w:pPr>
        <w:pStyle w:val="style0"/>
        <w:rPr/>
      </w:pPr>
      <w:r>
        <w:t xml:space="preserve">Mini dimension </w:t>
      </w:r>
      <w:r>
        <w:t>are</w:t>
      </w:r>
      <w:r>
        <w:t xml:space="preserve"> created out of Rapidly Changing dimension so as to reduce the volume up of update &amp; delete</w:t>
      </w:r>
    </w:p>
    <w:p>
      <w:pPr>
        <w:pStyle w:val="style0"/>
        <w:rPr/>
      </w:pPr>
    </w:p>
    <w:p>
      <w:pPr>
        <w:pStyle w:val="style0"/>
        <w:rPr/>
      </w:pPr>
      <w:r>
        <w:t>Q3 -</w:t>
      </w:r>
      <w:r>
        <w:rPr>
          <w:noProof/>
        </w:rPr>
        <w:drawing>
          <wp:inline distT="0" distB="0" distL="0" distR="0">
            <wp:extent cx="5731510" cy="3223895"/>
            <wp:effectExtent l="0" t="0" r="2540" b="0"/>
            <wp:docPr id="102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true">
                    <a:blip r:embed="rId4"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r>
        <w:t xml:space="preserve"> </w:t>
      </w:r>
      <w:r>
        <w:tab/>
      </w:r>
      <w:r>
        <w:rPr/>
        <w:fldChar w:fldCharType="begin"/>
      </w:r>
      <w:r>
        <w:instrText xml:space="preserve"> HYPERLINK "https://searchsqlserver.techtarget.com/definition/MOLAP" </w:instrText>
      </w:r>
      <w:r>
        <w:rPr/>
        <w:fldChar w:fldCharType="separate"/>
      </w:r>
      <w:r>
        <w:rPr>
          <w:rStyle w:val="style85"/>
        </w:rPr>
        <w:t>https://searchsqlserver.techtarget.com/definition/MOLAP</w:t>
      </w:r>
      <w:r>
        <w:rPr/>
        <w:fldChar w:fldCharType="end"/>
      </w:r>
      <w:bookmarkStart w:id="0" w:name="_GoBack"/>
      <w:bookmarkEnd w:id="0"/>
    </w:p>
    <w:p>
      <w:pPr>
        <w:pStyle w:val="style0"/>
        <w:rPr/>
      </w:pPr>
      <w:r>
        <w:rPr/>
        <w:fldChar w:fldCharType="begin"/>
      </w:r>
      <w:r>
        <w:instrText xml:space="preserve"> HYPERLINK "https://www.guru99.com/multidimensional-online-analytical-processing.html" </w:instrText>
      </w:r>
      <w:r>
        <w:rPr/>
        <w:fldChar w:fldCharType="separate"/>
      </w:r>
      <w:r>
        <w:rPr>
          <w:rStyle w:val="style85"/>
        </w:rPr>
        <w:t>https://www.guru99.com/multidimensional-online-analytical-processing.html</w:t>
      </w:r>
      <w:r>
        <w:rPr/>
        <w:fldChar w:fldCharType="end"/>
      </w:r>
    </w:p>
    <w:p>
      <w:pPr>
        <w:pStyle w:val="style0"/>
        <w:rPr/>
      </w:pPr>
      <w:r>
        <w:t xml:space="preserve"> </w:t>
      </w:r>
      <w:r>
        <w:tab/>
      </w:r>
    </w:p>
    <w:p>
      <w:pPr>
        <w:pStyle w:val="style0"/>
        <w:rPr/>
      </w:pPr>
      <w:r>
        <w:rPr>
          <w:noProof/>
        </w:rPr>
        <w:drawing>
          <wp:inline distT="0" distB="0" distL="0" distR="0">
            <wp:extent cx="5731510" cy="3223895"/>
            <wp:effectExtent l="0" t="0" r="2540" b="0"/>
            <wp:docPr id="102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true">
                    <a:blip r:embed="rId5"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p>
    <w:p>
      <w:pPr>
        <w:pStyle w:val="style0"/>
        <w:rPr/>
      </w:pPr>
      <w:r>
        <w:t>Dimension</w:t>
      </w:r>
      <w:r>
        <w:t xml:space="preserve"> keys are </w:t>
      </w:r>
      <w:r>
        <w:t>synonyms for Surrogate keys</w:t>
      </w:r>
      <w:r>
        <w:rPr>
          <w:noProof/>
        </w:rPr>
        <w:drawing>
          <wp:inline distT="0" distB="0" distL="0" distR="0">
            <wp:extent cx="5731510" cy="3223895"/>
            <wp:effectExtent l="0" t="0" r="2540" b="0"/>
            <wp:docPr id="103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true">
                    <a:blip r:embed="rId6"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p>
    <w:p>
      <w:pPr>
        <w:pStyle w:val="style0"/>
        <w:rPr/>
      </w:pPr>
      <w:r>
        <w:rPr/>
        <w:fldChar w:fldCharType="begin"/>
      </w:r>
      <w:r>
        <w:instrText xml:space="preserve"> HYPERLINK "https://www.teradatapoint.com/data-warehousing-molap" </w:instrText>
      </w:r>
      <w:r>
        <w:rPr/>
        <w:fldChar w:fldCharType="separate"/>
      </w:r>
      <w:r>
        <w:rPr>
          <w:rStyle w:val="style85"/>
        </w:rPr>
        <w:t>https://www.teradatapoint.com/data-warehousing-molap</w:t>
      </w:r>
      <w:r>
        <w:rPr/>
        <w:fldChar w:fldCharType="end"/>
      </w:r>
    </w:p>
    <w:p>
      <w:pPr>
        <w:pStyle w:val="style0"/>
        <w:rPr/>
      </w:pPr>
      <w:r>
        <w:rPr/>
        <w:fldChar w:fldCharType="begin"/>
      </w:r>
      <w:r>
        <w:instrText xml:space="preserve"> HYPERLINK "https://www.guru99.com/multidimensional-online-analytical-processing.html" </w:instrText>
      </w:r>
      <w:r>
        <w:rPr/>
        <w:fldChar w:fldCharType="separate"/>
      </w:r>
      <w:r>
        <w:rPr>
          <w:rStyle w:val="style85"/>
        </w:rPr>
        <w:t>https://www.guru99.com/multidimensional-online-analytical-processing.html</w:t>
      </w:r>
      <w:r>
        <w:rPr/>
        <w:fldChar w:fldCharType="end"/>
      </w:r>
    </w:p>
    <w:p>
      <w:pPr>
        <w:pStyle w:val="style0"/>
        <w:rPr/>
      </w:pPr>
    </w:p>
    <w:p>
      <w:pPr>
        <w:pStyle w:val="style0"/>
        <w:rPr/>
      </w:pPr>
      <w:r>
        <w:rPr>
          <w:noProof/>
        </w:rPr>
        <w:drawing>
          <wp:inline distT="0" distB="0" distL="0" distR="0">
            <wp:extent cx="5731510" cy="3223895"/>
            <wp:effectExtent l="0" t="0" r="2540" b="0"/>
            <wp:docPr id="103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true">
                    <a:blip r:embed="rId7"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103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true">
                    <a:blip r:embed="rId8"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p>
    <w:p>
      <w:pPr>
        <w:pStyle w:val="style0"/>
        <w:rPr/>
      </w:pPr>
      <w:r>
        <w:t xml:space="preserve">Confirmed Dimensions are like Master list of items – It can be used in Invoicing, it can be used in Purchased orders, it can be used in Order </w:t>
      </w:r>
      <w:r>
        <w:t>details..</w:t>
      </w:r>
      <w:r>
        <w:t>etc</w:t>
      </w:r>
      <w:r>
        <w:t>…so 3 different subject area – Finance, Procurement &amp; Order management</w:t>
      </w:r>
    </w:p>
    <w:p>
      <w:pPr>
        <w:pStyle w:val="style0"/>
        <w:rPr/>
      </w:pPr>
      <w:r>
        <w:rPr>
          <w:noProof/>
        </w:rPr>
        <w:drawing>
          <wp:inline distT="0" distB="0" distL="0" distR="0">
            <wp:extent cx="5731510" cy="3223895"/>
            <wp:effectExtent l="0" t="0" r="2540" b="0"/>
            <wp:docPr id="103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true">
                    <a:blip r:embed="rId9"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p>
    <w:p>
      <w:pPr>
        <w:pStyle w:val="style0"/>
        <w:rPr/>
      </w:pPr>
      <w:r>
        <w:t>Same as above</w:t>
      </w:r>
      <w:r>
        <w:rPr>
          <w:noProof/>
        </w:rPr>
        <w:drawing>
          <wp:inline distT="0" distB="0" distL="0" distR="0">
            <wp:extent cx="5731510" cy="3223895"/>
            <wp:effectExtent l="0" t="0" r="2540" b="0"/>
            <wp:docPr id="103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rotWithShape="true">
                    <a:blip r:embed="rId10"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p>
    <w:p>
      <w:pPr>
        <w:pStyle w:val="style0"/>
        <w:rPr/>
      </w:pPr>
      <w:r>
        <w:t xml:space="preserve">Take for example…Date dimension…in a table there can be Order date, Ship date, </w:t>
      </w:r>
      <w:r>
        <w:t>Deliver</w:t>
      </w:r>
      <w:r>
        <w:t xml:space="preserve"> date…Noe Date dimension is having multiple relationship with the fact table</w:t>
      </w:r>
    </w:p>
    <w:p>
      <w:pPr>
        <w:pStyle w:val="style0"/>
        <w:rPr/>
      </w:pPr>
      <w:r>
        <w:rPr>
          <w:noProof/>
        </w:rPr>
        <w:drawing>
          <wp:inline distT="0" distB="0" distL="0" distR="0">
            <wp:extent cx="5731510" cy="3223895"/>
            <wp:effectExtent l="0" t="0" r="2540" b="0"/>
            <wp:docPr id="103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rotWithShape="true">
                    <a:blip r:embed="rId11"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p>
    <w:p>
      <w:pPr>
        <w:pStyle w:val="style0"/>
        <w:rPr/>
      </w:pPr>
      <w:r>
        <w:t>D1 can confirm to D2, or Vice Versa, or D1 &amp; D2 both confirm to another master dimension</w:t>
      </w:r>
      <w:r>
        <w:rPr>
          <w:noProof/>
        </w:rPr>
        <w:drawing>
          <wp:inline distT="0" distB="0" distL="0" distR="0">
            <wp:extent cx="5731510" cy="3223895"/>
            <wp:effectExtent l="0" t="0" r="2540" b="0"/>
            <wp:docPr id="103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rotWithShape="true">
                    <a:blip r:embed="rId12"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103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rotWithShape="true">
                    <a:blip r:embed="rId13"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p>
    <w:p>
      <w:pPr>
        <w:pStyle w:val="style0"/>
        <w:rPr/>
      </w:pPr>
      <w:r>
        <w:t xml:space="preserve">Partition the DB – </w:t>
      </w:r>
      <w:r>
        <w:t>This limits</w:t>
      </w:r>
      <w:r>
        <w:t xml:space="preserve"> the query to scan through a smaller DB</w:t>
      </w:r>
    </w:p>
    <w:p>
      <w:pPr>
        <w:pStyle w:val="style0"/>
        <w:rPr/>
      </w:pPr>
      <w:r>
        <w:t>Aggregation – The query need not try to do a SUM operation as it is available</w:t>
      </w:r>
    </w:p>
    <w:p>
      <w:pPr>
        <w:pStyle w:val="style0"/>
        <w:rPr/>
      </w:pPr>
      <w:r>
        <w:t xml:space="preserve">View Materialization – The view already has the </w:t>
      </w:r>
      <w:r>
        <w:t>data..</w:t>
      </w:r>
      <w:r>
        <w:t>it</w:t>
      </w:r>
      <w:r>
        <w:t xml:space="preserve"> need not fetch the data from the table</w:t>
      </w:r>
      <w:r>
        <w:rPr>
          <w:noProof/>
        </w:rPr>
        <w:drawing>
          <wp:inline distT="0" distB="0" distL="0" distR="0">
            <wp:extent cx="5731510" cy="3223895"/>
            <wp:effectExtent l="0" t="0" r="2540" b="0"/>
            <wp:docPr id="103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rotWithShape="true">
                    <a:blip r:embed="rId14"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103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rotWithShape="true">
                    <a:blip r:embed="rId15"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104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rotWithShape="true">
                    <a:blip r:embed="rId16"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104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rotWithShape="true">
                    <a:blip r:embed="rId17"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104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rotWithShape="true">
                    <a:blip r:embed="rId18"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104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
                    <pic:cNvPicPr/>
                  </pic:nvPicPr>
                  <pic:blipFill rotWithShape="true">
                    <a:blip r:embed="rId19"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104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
                    <pic:cNvPicPr/>
                  </pic:nvPicPr>
                  <pic:blipFill rotWithShape="true">
                    <a:blip r:embed="rId20"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p>
    <w:p>
      <w:pPr>
        <w:pStyle w:val="style0"/>
        <w:rPr/>
      </w:pPr>
      <w:r>
        <w:t xml:space="preserve">This kind of grouping is </w:t>
      </w:r>
      <w:r>
        <w:t>give</w:t>
      </w:r>
      <w:r>
        <w:t xml:space="preserve"> by CUBE</w:t>
      </w:r>
    </w:p>
    <w:p>
      <w:pPr>
        <w:pStyle w:val="style0"/>
        <w:rPr/>
      </w:pPr>
      <w:r>
        <w:t>https://oracle-base.com/articles/misc/rollup-cube-grouping-functions-and-grouping-sets</w:t>
      </w:r>
    </w:p>
    <w:p>
      <w:pPr>
        <w:pStyle w:val="style0"/>
        <w:rPr/>
      </w:pPr>
      <w:r>
        <w:rPr/>
        <w:fldChar w:fldCharType="begin"/>
      </w:r>
      <w:r>
        <w:instrText xml:space="preserve"> HYPERLINK "http://www.sqlservertutorial.net/sql-server-basics/sql-server-rollup/" </w:instrText>
      </w:r>
      <w:r>
        <w:rPr/>
        <w:fldChar w:fldCharType="separate"/>
      </w:r>
      <w:r>
        <w:rPr>
          <w:rStyle w:val="style85"/>
        </w:rPr>
        <w:t>http://www.sqlservertutorial.net/sql-server-basics/sql-server-rollup/</w:t>
      </w:r>
      <w:r>
        <w:rPr/>
        <w:fldChar w:fldCharType="end"/>
      </w:r>
    </w:p>
    <w:p>
      <w:pPr>
        <w:pStyle w:val="style0"/>
        <w:shd w:val="clear" w:color="auto" w:fill="ffffff"/>
        <w:spacing w:after="0" w:lineRule="auto" w:line="240"/>
        <w:rPr>
          <w:rFonts w:ascii="Arial" w:cs="Arial" w:eastAsia="Times New Roman" w:hAnsi="Arial"/>
          <w:color w:val="000000"/>
          <w:sz w:val="23"/>
          <w:szCs w:val="23"/>
          <w:lang w:eastAsia="en-IN"/>
        </w:rPr>
      </w:pPr>
      <w:r>
        <w:rPr>
          <w:rFonts w:ascii="Arial" w:cs="Arial" w:eastAsia="Times New Roman" w:hAnsi="Arial"/>
          <w:color w:val="000000"/>
          <w:sz w:val="23"/>
          <w:szCs w:val="23"/>
          <w:lang w:eastAsia="en-IN"/>
        </w:rPr>
        <w:t>he </w:t>
      </w:r>
      <w:r>
        <w:rPr>
          <w:rFonts w:ascii="Courier New" w:cs="Courier New" w:eastAsia="Times New Roman" w:hAnsi="Courier New"/>
          <w:color w:val="666666"/>
          <w:sz w:val="21"/>
          <w:szCs w:val="21"/>
          <w:bdr w:val="single" w:sz="6" w:space="0" w:color="dddddd" w:frame="true"/>
          <w:lang w:eastAsia="en-IN"/>
        </w:rPr>
        <w:t>ROLLUP</w:t>
      </w:r>
      <w:r>
        <w:rPr>
          <w:rFonts w:ascii="Arial" w:cs="Arial" w:eastAsia="Times New Roman" w:hAnsi="Arial"/>
          <w:color w:val="000000"/>
          <w:sz w:val="23"/>
          <w:szCs w:val="23"/>
          <w:lang w:eastAsia="en-IN"/>
        </w:rPr>
        <w:t> is often used to generate subtotals and totals for reporting purposes.</w:t>
      </w:r>
    </w:p>
    <w:p>
      <w:pPr>
        <w:pStyle w:val="style0"/>
        <w:shd w:val="clear" w:color="auto" w:fill="ffffff"/>
        <w:spacing w:after="0" w:lineRule="auto" w:line="240"/>
        <w:rPr>
          <w:rFonts w:ascii="Arial" w:cs="Arial" w:eastAsia="Times New Roman" w:hAnsi="Arial"/>
          <w:color w:val="000000"/>
          <w:sz w:val="23"/>
          <w:szCs w:val="23"/>
          <w:lang w:eastAsia="en-IN"/>
        </w:rPr>
      </w:pPr>
      <w:r>
        <w:rPr>
          <w:rFonts w:ascii="Arial" w:cs="Arial" w:eastAsia="Times New Roman" w:hAnsi="Arial"/>
          <w:color w:val="000000"/>
          <w:sz w:val="23"/>
          <w:szCs w:val="23"/>
          <w:lang w:eastAsia="en-IN"/>
        </w:rPr>
        <w:t>Let’s consider an example. The following </w:t>
      </w:r>
      <w:r>
        <w:rPr>
          <w:rFonts w:ascii="Courier New" w:cs="Courier New" w:eastAsia="Times New Roman" w:hAnsi="Courier New"/>
          <w:color w:val="666666"/>
          <w:sz w:val="21"/>
          <w:szCs w:val="21"/>
          <w:bdr w:val="single" w:sz="6" w:space="0" w:color="dddddd" w:frame="true"/>
          <w:lang w:eastAsia="en-IN"/>
        </w:rPr>
        <w:t>CUBE (d</w:t>
      </w:r>
      <w:r>
        <w:rPr>
          <w:rFonts w:ascii="Courier New" w:cs="Courier New" w:eastAsia="Times New Roman" w:hAnsi="Courier New"/>
          <w:color w:val="666666"/>
          <w:sz w:val="21"/>
          <w:szCs w:val="21"/>
          <w:bdr w:val="single" w:sz="6" w:space="0" w:color="dddddd" w:frame="true"/>
          <w:lang w:eastAsia="en-IN"/>
        </w:rPr>
        <w:t>1,d</w:t>
      </w:r>
      <w:r>
        <w:rPr>
          <w:rFonts w:ascii="Courier New" w:cs="Courier New" w:eastAsia="Times New Roman" w:hAnsi="Courier New"/>
          <w:color w:val="666666"/>
          <w:sz w:val="21"/>
          <w:szCs w:val="21"/>
          <w:bdr w:val="single" w:sz="6" w:space="0" w:color="dddddd" w:frame="true"/>
          <w:lang w:eastAsia="en-IN"/>
        </w:rPr>
        <w:t>2,d3)</w:t>
      </w:r>
      <w:r>
        <w:rPr>
          <w:rFonts w:ascii="Arial" w:cs="Arial" w:eastAsia="Times New Roman" w:hAnsi="Arial"/>
          <w:color w:val="000000"/>
          <w:sz w:val="23"/>
          <w:szCs w:val="23"/>
          <w:lang w:eastAsia="en-IN"/>
        </w:rPr>
        <w:t> defines eight possible grouping sets:</w:t>
      </w:r>
    </w:p>
    <w:tbl>
      <w:tblPr>
        <w:tblW w:w="0" w:type="auto"/>
        <w:tblCellSpacing w:w="15" w:type="dxa"/>
        <w:tblCellMar>
          <w:top w:w="15" w:type="dxa"/>
          <w:left w:w="15" w:type="dxa"/>
          <w:bottom w:w="15" w:type="dxa"/>
          <w:right w:w="15" w:type="dxa"/>
        </w:tblCellMar>
        <w:tblLook w:firstRow="1" w:lastRow="0" w:firstColumn="1" w:lastColumn="0" w:noHBand="0" w:noVBand="1"/>
      </w:tblPr>
      <w:tblGrid>
        <w:gridCol w:w="175"/>
        <w:gridCol w:w="8851"/>
      </w:tblGrid>
      <w:tr>
        <w:trPr>
          <w:tblCellSpacing w:w="15" w:type="dxa"/>
        </w:trPr>
        <w:tc>
          <w:tcPr>
            <w:tcW w:w="0" w:type="auto"/>
            <w:tcBorders>
              <w:top w:val="nil"/>
              <w:left w:val="nil"/>
              <w:bottom w:val="nil"/>
            </w:tcBorders>
            <w:tcFitText w:val="false"/>
            <w:vAlign w:val="center"/>
            <w:hideMark/>
          </w:tcPr>
          <w:p>
            <w:pPr>
              <w:pStyle w:val="style0"/>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1</w:t>
            </w:r>
          </w:p>
          <w:p>
            <w:pPr>
              <w:pStyle w:val="style0"/>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2</w:t>
            </w:r>
          </w:p>
          <w:p>
            <w:pPr>
              <w:pStyle w:val="style0"/>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3</w:t>
            </w:r>
          </w:p>
          <w:p>
            <w:pPr>
              <w:pStyle w:val="style0"/>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4</w:t>
            </w:r>
          </w:p>
          <w:p>
            <w:pPr>
              <w:pStyle w:val="style0"/>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5</w:t>
            </w:r>
          </w:p>
          <w:p>
            <w:pPr>
              <w:pStyle w:val="style0"/>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6</w:t>
            </w:r>
          </w:p>
          <w:p>
            <w:pPr>
              <w:pStyle w:val="style0"/>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7</w:t>
            </w:r>
          </w:p>
          <w:p>
            <w:pPr>
              <w:pStyle w:val="style0"/>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8</w:t>
            </w:r>
          </w:p>
        </w:tc>
        <w:tc>
          <w:tcPr>
            <w:tcW w:w="10632" w:type="dxa"/>
            <w:tcBorders>
              <w:top w:val="nil"/>
              <w:left w:val="nil"/>
              <w:bottom w:val="nil"/>
              <w:right w:val="nil"/>
            </w:tcBorders>
            <w:tcFitText w:val="false"/>
            <w:vAlign w:val="center"/>
            <w:hideMark/>
          </w:tcPr>
          <w:p>
            <w:pPr>
              <w:pStyle w:val="style0"/>
              <w:wordWrap w:val="false"/>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(d1, d2, d3)</w:t>
            </w:r>
          </w:p>
          <w:p>
            <w:pPr>
              <w:pStyle w:val="style0"/>
              <w:wordWrap w:val="false"/>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(d1, d2)</w:t>
            </w:r>
          </w:p>
          <w:p>
            <w:pPr>
              <w:pStyle w:val="style0"/>
              <w:wordWrap w:val="false"/>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(d2, d3)</w:t>
            </w:r>
          </w:p>
          <w:p>
            <w:pPr>
              <w:pStyle w:val="style0"/>
              <w:wordWrap w:val="false"/>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(d1, d3)</w:t>
            </w:r>
          </w:p>
          <w:p>
            <w:pPr>
              <w:pStyle w:val="style0"/>
              <w:wordWrap w:val="false"/>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(d1)</w:t>
            </w:r>
          </w:p>
          <w:p>
            <w:pPr>
              <w:pStyle w:val="style0"/>
              <w:wordWrap w:val="false"/>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(d2)</w:t>
            </w:r>
          </w:p>
          <w:p>
            <w:pPr>
              <w:pStyle w:val="style0"/>
              <w:wordWrap w:val="false"/>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(d3)</w:t>
            </w:r>
          </w:p>
          <w:p>
            <w:pPr>
              <w:pStyle w:val="style0"/>
              <w:wordWrap w:val="false"/>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w:t>
            </w:r>
          </w:p>
        </w:tc>
      </w:tr>
    </w:tbl>
    <w:p>
      <w:pPr>
        <w:pStyle w:val="style0"/>
        <w:shd w:val="clear" w:color="auto" w:fill="ffffff"/>
        <w:spacing w:after="0" w:lineRule="auto" w:line="240"/>
        <w:rPr>
          <w:rFonts w:ascii="Arial" w:cs="Arial" w:eastAsia="Times New Roman" w:hAnsi="Arial"/>
          <w:color w:val="000000"/>
          <w:sz w:val="23"/>
          <w:szCs w:val="23"/>
          <w:lang w:eastAsia="en-IN"/>
        </w:rPr>
      </w:pPr>
      <w:r>
        <w:rPr>
          <w:rFonts w:ascii="Arial" w:cs="Arial" w:eastAsia="Times New Roman" w:hAnsi="Arial"/>
          <w:color w:val="000000"/>
          <w:sz w:val="23"/>
          <w:szCs w:val="23"/>
          <w:lang w:eastAsia="en-IN"/>
        </w:rPr>
        <w:t>And the </w:t>
      </w:r>
      <w:r>
        <w:rPr>
          <w:rFonts w:ascii="Courier New" w:cs="Courier New" w:eastAsia="Times New Roman" w:hAnsi="Courier New"/>
          <w:color w:val="666666"/>
          <w:sz w:val="21"/>
          <w:szCs w:val="21"/>
          <w:bdr w:val="single" w:sz="6" w:space="0" w:color="dddddd" w:frame="true"/>
          <w:lang w:eastAsia="en-IN"/>
        </w:rPr>
        <w:t>ROLLUP(d</w:t>
      </w:r>
      <w:r>
        <w:rPr>
          <w:rFonts w:ascii="Courier New" w:cs="Courier New" w:eastAsia="Times New Roman" w:hAnsi="Courier New"/>
          <w:color w:val="666666"/>
          <w:sz w:val="21"/>
          <w:szCs w:val="21"/>
          <w:bdr w:val="single" w:sz="6" w:space="0" w:color="dddddd" w:frame="true"/>
          <w:lang w:eastAsia="en-IN"/>
        </w:rPr>
        <w:t>1,d</w:t>
      </w:r>
      <w:r>
        <w:rPr>
          <w:rFonts w:ascii="Courier New" w:cs="Courier New" w:eastAsia="Times New Roman" w:hAnsi="Courier New"/>
          <w:color w:val="666666"/>
          <w:sz w:val="21"/>
          <w:szCs w:val="21"/>
          <w:bdr w:val="single" w:sz="6" w:space="0" w:color="dddddd" w:frame="true"/>
          <w:lang w:eastAsia="en-IN"/>
        </w:rPr>
        <w:t>2,d3)</w:t>
      </w:r>
      <w:r>
        <w:rPr>
          <w:rFonts w:ascii="Arial" w:cs="Arial" w:eastAsia="Times New Roman" w:hAnsi="Arial"/>
          <w:color w:val="000000"/>
          <w:sz w:val="23"/>
          <w:szCs w:val="23"/>
          <w:lang w:eastAsia="en-IN"/>
        </w:rPr>
        <w:t> creates only four grouping sets, assuming the hierarchy </w:t>
      </w:r>
      <w:r>
        <w:rPr>
          <w:rFonts w:ascii="Courier New" w:cs="Courier New" w:eastAsia="Times New Roman" w:hAnsi="Courier New"/>
          <w:color w:val="666666"/>
          <w:sz w:val="21"/>
          <w:szCs w:val="21"/>
          <w:bdr w:val="single" w:sz="6" w:space="0" w:color="dddddd" w:frame="true"/>
          <w:lang w:eastAsia="en-IN"/>
        </w:rPr>
        <w:t>d1 &gt; d2 &gt; d3</w:t>
      </w:r>
      <w:r>
        <w:rPr>
          <w:rFonts w:ascii="Arial" w:cs="Arial" w:eastAsia="Times New Roman" w:hAnsi="Arial"/>
          <w:color w:val="000000"/>
          <w:sz w:val="23"/>
          <w:szCs w:val="23"/>
          <w:lang w:eastAsia="en-IN"/>
        </w:rPr>
        <w:t>, as follows:</w:t>
      </w:r>
    </w:p>
    <w:tbl>
      <w:tblPr>
        <w:tblW w:w="0" w:type="auto"/>
        <w:tblCellSpacing w:w="15" w:type="dxa"/>
        <w:tblCellMar>
          <w:top w:w="15" w:type="dxa"/>
          <w:left w:w="15" w:type="dxa"/>
          <w:bottom w:w="15" w:type="dxa"/>
          <w:right w:w="15" w:type="dxa"/>
        </w:tblCellMar>
        <w:tblLook w:firstRow="1" w:lastRow="0" w:firstColumn="1" w:lastColumn="0" w:noHBand="0" w:noVBand="1"/>
      </w:tblPr>
      <w:tblGrid>
        <w:gridCol w:w="175"/>
        <w:gridCol w:w="8851"/>
      </w:tblGrid>
      <w:tr>
        <w:trPr>
          <w:tblCellSpacing w:w="15" w:type="dxa"/>
        </w:trPr>
        <w:tc>
          <w:tcPr>
            <w:tcW w:w="0" w:type="auto"/>
            <w:tcBorders>
              <w:top w:val="nil"/>
              <w:left w:val="nil"/>
              <w:bottom w:val="nil"/>
            </w:tcBorders>
            <w:tcFitText w:val="false"/>
            <w:vAlign w:val="center"/>
            <w:hideMark/>
          </w:tcPr>
          <w:p>
            <w:pPr>
              <w:pStyle w:val="style0"/>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1</w:t>
            </w:r>
          </w:p>
          <w:p>
            <w:pPr>
              <w:pStyle w:val="style0"/>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2</w:t>
            </w:r>
          </w:p>
          <w:p>
            <w:pPr>
              <w:pStyle w:val="style0"/>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3</w:t>
            </w:r>
          </w:p>
          <w:p>
            <w:pPr>
              <w:pStyle w:val="style0"/>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4</w:t>
            </w:r>
          </w:p>
        </w:tc>
        <w:tc>
          <w:tcPr>
            <w:tcW w:w="10632" w:type="dxa"/>
            <w:tcBorders>
              <w:top w:val="nil"/>
              <w:left w:val="nil"/>
              <w:bottom w:val="nil"/>
              <w:right w:val="nil"/>
            </w:tcBorders>
            <w:tcFitText w:val="false"/>
            <w:vAlign w:val="center"/>
            <w:hideMark/>
          </w:tcPr>
          <w:p>
            <w:pPr>
              <w:pStyle w:val="style0"/>
              <w:wordWrap w:val="false"/>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(d1, d2, d3)</w:t>
            </w:r>
          </w:p>
          <w:p>
            <w:pPr>
              <w:pStyle w:val="style0"/>
              <w:wordWrap w:val="false"/>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(d1, d2)</w:t>
            </w:r>
          </w:p>
          <w:p>
            <w:pPr>
              <w:pStyle w:val="style0"/>
              <w:wordWrap w:val="false"/>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(d1)</w:t>
            </w:r>
          </w:p>
          <w:p>
            <w:pPr>
              <w:pStyle w:val="style0"/>
              <w:wordWrap w:val="false"/>
              <w:spacing w:after="0" w:lineRule="auto" w:line="240"/>
              <w:rPr>
                <w:rFonts w:ascii="inherit" w:cs="Times New Roman" w:eastAsia="Times New Roman" w:hAnsi="inherit"/>
                <w:sz w:val="18"/>
                <w:szCs w:val="18"/>
                <w:lang w:eastAsia="en-IN"/>
              </w:rPr>
            </w:pPr>
            <w:r>
              <w:rPr>
                <w:rFonts w:ascii="inherit" w:cs="Times New Roman" w:eastAsia="Times New Roman" w:hAnsi="inherit"/>
                <w:sz w:val="18"/>
                <w:szCs w:val="18"/>
                <w:lang w:eastAsia="en-IN"/>
              </w:rPr>
              <w:t>()</w:t>
            </w:r>
          </w:p>
        </w:tc>
      </w:tr>
    </w:tbl>
    <w:p>
      <w:pPr>
        <w:pStyle w:val="style0"/>
        <w:rPr/>
      </w:pPr>
    </w:p>
    <w:p>
      <w:pPr>
        <w:pStyle w:val="style0"/>
        <w:rPr/>
      </w:pPr>
    </w:p>
    <w:p>
      <w:pPr>
        <w:pStyle w:val="style0"/>
        <w:rPr/>
      </w:pPr>
      <w:r>
        <w:rPr>
          <w:noProof/>
        </w:rPr>
        <w:drawing>
          <wp:inline distT="0" distB="0" distL="0" distR="0">
            <wp:extent cx="5731510" cy="3223895"/>
            <wp:effectExtent l="0" t="0" r="2540" b="0"/>
            <wp:docPr id="104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
                    <pic:cNvPicPr/>
                  </pic:nvPicPr>
                  <pic:blipFill rotWithShape="true">
                    <a:blip r:embed="rId21"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r>
        <w:tab/>
      </w:r>
      <w:r>
        <w:rPr>
          <w:noProof/>
        </w:rPr>
        <w:drawing>
          <wp:inline distT="0" distB="0" distL="0" distR="0">
            <wp:extent cx="5731510" cy="3223895"/>
            <wp:effectExtent l="0" t="0" r="2540" b="0"/>
            <wp:docPr id="104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rotWithShape="true">
                    <a:blip r:embed="rId22"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p>
    <w:p>
      <w:pPr>
        <w:pStyle w:val="style0"/>
        <w:rPr/>
      </w:pPr>
      <w:r>
        <w:t>Bridge table helps connect 2 dimension that has many to many relationship…example account number and people…1 account can be held by multiple people, and 1 person can have multiple accounts</w:t>
      </w:r>
    </w:p>
    <w:p>
      <w:pPr>
        <w:pStyle w:val="style0"/>
        <w:rPr/>
      </w:pPr>
      <w:r>
        <w:rPr>
          <w:noProof/>
        </w:rPr>
        <w:drawing>
          <wp:inline distT="0" distB="0" distL="0" distR="0">
            <wp:extent cx="5731510" cy="3223895"/>
            <wp:effectExtent l="0" t="0" r="2540" b="0"/>
            <wp:docPr id="104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
                    <pic:cNvPicPr/>
                  </pic:nvPicPr>
                  <pic:blipFill rotWithShape="true">
                    <a:blip r:embed="rId23"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p>
    <w:p>
      <w:pPr>
        <w:pStyle w:val="style0"/>
        <w:rPr/>
      </w:pPr>
      <w:r>
        <w:t>When you aggregate the data, the query is faster, the aggregation by itself produces summarized data, aggregation means roll up of data</w:t>
      </w:r>
    </w:p>
    <w:p>
      <w:pPr>
        <w:pStyle w:val="style0"/>
        <w:rPr/>
      </w:pPr>
      <w:r>
        <w:rPr>
          <w:noProof/>
        </w:rPr>
        <w:drawing>
          <wp:inline distT="0" distB="0" distL="0" distR="0">
            <wp:extent cx="5731510" cy="3223895"/>
            <wp:effectExtent l="0" t="0" r="2540" b="0"/>
            <wp:docPr id="104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
                    <pic:cNvPicPr/>
                  </pic:nvPicPr>
                  <pic:blipFill rotWithShape="true">
                    <a:blip r:embed="rId24"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p>
    <w:p>
      <w:pPr>
        <w:pStyle w:val="style0"/>
        <w:rPr/>
      </w:pPr>
      <w:r>
        <w:t>Refer to question 19 above</w:t>
      </w:r>
    </w:p>
    <w:p>
      <w:pPr>
        <w:pStyle w:val="style0"/>
        <w:rPr/>
      </w:pPr>
      <w:r>
        <w:rPr>
          <w:noProof/>
        </w:rPr>
        <w:drawing>
          <wp:inline distT="0" distB="0" distL="0" distR="0">
            <wp:extent cx="5731510" cy="3223895"/>
            <wp:effectExtent l="0" t="0" r="2540" b="0"/>
            <wp:docPr id="104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
                    <pic:cNvPicPr/>
                  </pic:nvPicPr>
                  <pic:blipFill rotWithShape="true">
                    <a:blip r:embed="rId25"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p>
    <w:p>
      <w:pPr>
        <w:pStyle w:val="style0"/>
        <w:rPr/>
      </w:pPr>
    </w:p>
    <w:p>
      <w:pPr>
        <w:pStyle w:val="style0"/>
        <w:rPr/>
      </w:pPr>
      <w:r>
        <w:t xml:space="preserve">When you partition a table, the query executes faster if the data is within 1 partition and you mention the partition …like year partition…the query states that fetch from year 2019, and the table is structured by year, so it can skip all year checks, and directly jump to 2019 partition …this also results in faster data loading &amp; deleting where you work only that particular partition </w:t>
      </w:r>
      <w:r>
        <w:rPr>
          <w:noProof/>
        </w:rPr>
        <w:drawing>
          <wp:inline distT="0" distB="0" distL="0" distR="0">
            <wp:extent cx="5731510" cy="3223895"/>
            <wp:effectExtent l="0" t="0" r="2540" b="0"/>
            <wp:docPr id="105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
                    <pic:cNvPicPr/>
                  </pic:nvPicPr>
                  <pic:blipFill rotWithShape="true">
                    <a:blip r:embed="rId26" cstate="print">
                      <a:extLst>
                        <a:ext uri="{28A0092B-C50C-407E-A947-70E740481C1C}">
                          <a14:useLocalDpi xmlns:a14="http://schemas.microsoft.com/office/drawing/2010/main" val="0"/>
                        </a:ext>
                      </a:extLst>
                    </a:blip>
                    <a:srcRect l="0" t="0" r="0" b="0"/>
                    <a:stretch>
                      <a:fillRect/>
                    </a:stretch>
                  </pic:blipFill>
                  <pic:spPr>
                    <a:xfrm>
                      <a:off x="0" y="0"/>
                      <a:ext cx="5731510" cy="3223895"/>
                    </a:xfrm>
                    <a:prstGeom prst="rect">
                      <a:avLst/>
                    </a:prstGeom>
                  </pic:spPr>
                </pic:pic>
              </a:graphicData>
            </a:graphic>
          </wp:inline>
        </w:drawing>
      </w:r>
    </w:p>
    <w:p>
      <w:pPr>
        <w:pStyle w:val="style0"/>
        <w:rPr/>
      </w:pPr>
    </w:p>
    <w:p>
      <w:pPr>
        <w:pStyle w:val="style0"/>
        <w:rPr/>
      </w:pPr>
    </w:p>
    <w:p>
      <w:pPr>
        <w:pStyle w:val="style0"/>
        <w:rPr/>
      </w:pPr>
      <w:r>
        <w:t>Other attempts questions by BITS folks</w:t>
      </w:r>
    </w:p>
    <w:p>
      <w:pPr>
        <w:pStyle w:val="style0"/>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00002FF" w:usb1="4000ACFF" w:usb2="00000001" w:usb3="00000000" w:csb0="0000019F" w:csb1="00000000"/>
  </w:font>
  <w:font w:name="Times New Roman">
    <w:altName w:val="Times New Roman"/>
    <w:panose1 w:val="02020603050000020304"/>
    <w:charset w:val="00"/>
    <w:family w:val="roman"/>
    <w:pitch w:val="variable"/>
    <w:sig w:usb0="E0002AFF" w:usb1="C0007843" w:usb2="00000009" w:usb3="00000000" w:csb0="000001FF" w:csb1="00000000"/>
  </w:font>
  <w:font w:name="Segoe UI">
    <w:altName w:val="Segoe UI"/>
    <w:panose1 w:val="020b0502040000020203"/>
    <w:charset w:val="00"/>
    <w:family w:val="swiss"/>
    <w:pitch w:val="variable"/>
    <w:sig w:usb0="E4002EFF" w:usb1="C000E47F" w:usb2="00000009" w:usb3="00000000" w:csb0="000001FF" w:csb1="00000000"/>
  </w:font>
  <w:font w:name="Courier New">
    <w:altName w:val="Courier New"/>
    <w:panose1 w:val="02070309020000020404"/>
    <w:charset w:val="00"/>
    <w:family w:val="modern"/>
    <w:pitch w:val="fixed"/>
    <w:sig w:usb0="E0002EFF" w:usb1="C0007843" w:usb2="00000009" w:usb3="00000000" w:csb0="000001FF" w:csb1="00000000"/>
  </w:font>
  <w:font w:name="Arial">
    <w:altName w:val="Arial"/>
    <w:panose1 w:val="020b0604020000020204"/>
    <w:charset w:val="00"/>
    <w:family w:val="swiss"/>
    <w:pitch w:val="variable"/>
    <w:sig w:usb0="E0002AFF" w:usb1="C0007843" w:usb2="00000009" w:usb3="00000000" w:csb0="000001FF" w:csb1="00000000"/>
  </w:font>
  <w:font w:name="Calibri Light">
    <w:altName w:val="Calibri Light"/>
    <w:panose1 w:val="020f0302020000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zoom w:percent="182"/>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Theme="minorHAnsi" w:eastAsiaTheme="minorHAnsi" w:hAnsiTheme="minorHAnsi" w:cstheme="minorBid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W w:w="0" w:type="auto"/>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53">
    <w:name w:val="Balloon Text"/>
    <w:basedOn w:val="style0"/>
    <w:next w:val="style153"/>
    <w:link w:val="style4097"/>
    <w:uiPriority w:val="99"/>
    <w:pPr>
      <w:spacing w:after="0" w:lineRule="auto" w:line="240"/>
    </w:pPr>
    <w:rPr>
      <w:rFonts w:ascii="Segoe UI" w:cs="Segoe UI" w:hAnsi="Segoe UI"/>
      <w:sz w:val="18"/>
      <w:szCs w:val="18"/>
    </w:rPr>
  </w:style>
  <w:style w:type="character" w:customStyle="1" w:styleId="style4097">
    <w:name w:val="Balloon Text Char"/>
    <w:basedOn w:val="style65"/>
    <w:next w:val="style4097"/>
    <w:link w:val="style153"/>
    <w:uiPriority w:val="99"/>
    <w:rPr>
      <w:rFonts w:ascii="Segoe UI" w:cs="Segoe UI" w:hAnsi="Segoe UI"/>
      <w:sz w:val="18"/>
      <w:szCs w:val="18"/>
    </w:rPr>
  </w:style>
  <w:style w:type="character" w:styleId="style85">
    <w:name w:val="Hyperlink"/>
    <w:basedOn w:val="style65"/>
    <w:next w:val="style85"/>
    <w:uiPriority w:val="99"/>
    <w:rPr>
      <w:color w:val="0563c1"/>
      <w:u w:val="single"/>
    </w:rPr>
  </w:style>
  <w:style w:type="character" w:customStyle="1" w:styleId="style4098">
    <w:name w:val="Unresolved Mention"/>
    <w:basedOn w:val="style65"/>
    <w:next w:val="style4098"/>
    <w:uiPriority w:val="99"/>
    <w:rPr>
      <w:color w:val="605e5c"/>
      <w:shd w:val="clear" w:color="auto" w:fill="e1dfdd"/>
    </w:rPr>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sz w:val="24"/>
      <w:szCs w:val="24"/>
      <w:lang w:eastAsia="en-IN"/>
    </w:rPr>
  </w:style>
  <w:style w:type="character" w:styleId="style98">
    <w:name w:val="HTML Code"/>
    <w:basedOn w:val="style65"/>
    <w:next w:val="style98"/>
    <w:uiPriority w:val="99"/>
    <w:rPr>
      <w:rFonts w:ascii="Courier New" w:cs="Courier New" w:eastAsia="Times New Roman" w:hAnsi="Courier New"/>
      <w:sz w:val="20"/>
      <w:szCs w:val="20"/>
    </w:rPr>
  </w:style>
  <w:style w:type="character" w:customStyle="1" w:styleId="style4099">
    <w:name w:val="crayon-sy"/>
    <w:basedOn w:val="style65"/>
    <w:next w:val="style4099"/>
  </w:style>
  <w:style w:type="character" w:customStyle="1" w:styleId="style4100">
    <w:name w:val="crayon-i"/>
    <w:basedOn w:val="style65"/>
    <w:next w:val="style4100"/>
  </w:style>
  <w:style w:type="character" w:customStyle="1" w:styleId="style4101">
    <w:name w:val="crayon-h"/>
    <w:basedOn w:val="style65"/>
    <w:next w:val="style4101"/>
  </w:style>
</w:styles>
</file>

<file path=word/_rels/document.xml.rels><?xml version="1.0" encoding="UTF-8"?>
<Relationships xmlns="http://schemas.openxmlformats.org/package/2006/relationships"><Relationship Id="rId12" Type="http://schemas.openxmlformats.org/officeDocument/2006/relationships/image" Target="media/image11.png"/><Relationship Id="rId16" Type="http://schemas.openxmlformats.org/officeDocument/2006/relationships/image" Target="media/image15.png"/><Relationship Id="rId28" Type="http://schemas.openxmlformats.org/officeDocument/2006/relationships/fontTable" Target="fontTable.xml"/><Relationship Id="rId20" Type="http://schemas.openxmlformats.org/officeDocument/2006/relationships/image" Target="media/image19.png"/><Relationship Id="rId15" Type="http://schemas.openxmlformats.org/officeDocument/2006/relationships/image" Target="media/image14.png"/><Relationship Id="rId11" Type="http://schemas.openxmlformats.org/officeDocument/2006/relationships/image" Target="media/image10.png"/><Relationship Id="rId7" Type="http://schemas.openxmlformats.org/officeDocument/2006/relationships/image" Target="media/image6.png"/><Relationship Id="rId14" Type="http://schemas.openxmlformats.org/officeDocument/2006/relationships/image" Target="media/image13.png"/><Relationship Id="rId25" Type="http://schemas.openxmlformats.org/officeDocument/2006/relationships/image" Target="media/image24.png"/><Relationship Id="rId27" Type="http://schemas.openxmlformats.org/officeDocument/2006/relationships/styles" Target="styles.xml"/><Relationship Id="rId29" Type="http://schemas.openxmlformats.org/officeDocument/2006/relationships/settings" Target="settings.xml"/><Relationship Id="rId8" Type="http://schemas.openxmlformats.org/officeDocument/2006/relationships/image" Target="media/image7.png"/><Relationship Id="rId13" Type="http://schemas.openxmlformats.org/officeDocument/2006/relationships/image" Target="media/image12.png"/><Relationship Id="rId4" Type="http://schemas.openxmlformats.org/officeDocument/2006/relationships/image" Target="media/image3.png"/><Relationship Id="rId9" Type="http://schemas.openxmlformats.org/officeDocument/2006/relationships/image" Target="media/image8.png"/><Relationship Id="rId1" Type="http://schemas.openxmlformats.org/officeDocument/2006/relationships/numbering" Target="numbering.xml"/><Relationship Id="rId22" Type="http://schemas.openxmlformats.org/officeDocument/2006/relationships/image" Target="media/image21.png"/><Relationship Id="rId18" Type="http://schemas.openxmlformats.org/officeDocument/2006/relationships/image" Target="media/image17.png"/><Relationship Id="rId30" Type="http://schemas.openxmlformats.org/officeDocument/2006/relationships/theme" Target="theme/theme1.xml"/><Relationship Id="rId5" Type="http://schemas.openxmlformats.org/officeDocument/2006/relationships/image" Target="media/image4.png"/><Relationship Id="rId26" Type="http://schemas.openxmlformats.org/officeDocument/2006/relationships/image" Target="media/image25.png"/><Relationship Id="rId24" Type="http://schemas.openxmlformats.org/officeDocument/2006/relationships/image" Target="media/image23.png"/><Relationship Id="rId2" Type="http://schemas.openxmlformats.org/officeDocument/2006/relationships/image" Target="media/image1.png"/><Relationship Id="rId21" Type="http://schemas.openxmlformats.org/officeDocument/2006/relationships/image" Target="media/image20.png"/><Relationship Id="rId23" Type="http://schemas.openxmlformats.org/officeDocument/2006/relationships/image" Target="media/image22.png"/><Relationship Id="rId10" Type="http://schemas.openxmlformats.org/officeDocument/2006/relationships/image" Target="media/image9.png"/><Relationship Id="rId19" Type="http://schemas.openxmlformats.org/officeDocument/2006/relationships/image" Target="media/image18.png"/><Relationship Id="rId17" Type="http://schemas.openxmlformats.org/officeDocument/2006/relationships/image" Target="media/image16.png"/><Relationship Id="rId3" Type="http://schemas.openxmlformats.org/officeDocument/2006/relationships/image" Target="media/image2.png"/><Relationship Id="rId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456</Words>
  <Characters>2772</Characters>
  <Application>Kingsoft Office Writer</Application>
  <DocSecurity>0</DocSecurity>
  <Paragraphs>70</Paragraphs>
  <ScaleCrop>false</ScaleCrop>
  <LinksUpToDate>false</LinksUpToDate>
  <CharactersWithSpaces>3157</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2019-03-25T13:04:46Z</dcterms:created>
  <dc:creator>Siddhartha Banerjee</dc:creator>
  <lastModifiedBy>Kingsoft Office</lastModifiedBy>
  <dcterms:modified xsi:type="dcterms:W3CDTF">2019-03-27T13:23:14Z</dcterms:modified>
  <revision>4</revision>
</coreProperties>
</file>